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0"/>
      </w:pPr>
      <w:r>
        <w:t xml:space="preserve">Hébergement en baie</w:t>
      </w:r>
      <w:r/>
    </w:p>
    <w:p>
      <w:pPr>
        <w:pStyle w:val="642"/>
        <w:rPr>
          <w:highlight w:val="none"/>
        </w:rPr>
      </w:pPr>
      <w:r>
        <w:t xml:space="preserve">Qu’est-ce que l’hébergement en baie ?</w:t>
      </w:r>
      <w:r/>
    </w:p>
    <w:p>
      <w:pPr>
        <w:rPr>
          <w:highlight w:val="none"/>
        </w:rPr>
      </w:pPr>
      <w:r>
        <w:rPr>
          <w:highlight w:val="none"/>
        </w:rPr>
        <w:t xml:space="preserve">Alsace Réseau Neutre loue une baie (= une armoire métallique faite pour stocker des serveurs) au datacenter Cogent de Schiltigheim. Nous proposons de sous-louer un espace de notre baie, pour que vous puissiez y placer votre serveur physique.</w:t>
      </w:r>
      <w:r>
        <w:rPr>
          <w:highlight w:val="none"/>
        </w:rPr>
      </w:r>
      <w:r/>
    </w:p>
    <w:p>
      <w:pPr>
        <w:rPr>
          <w:highlight w:val="none"/>
        </w:rPr>
      </w:pPr>
      <w:r/>
      <w:hyperlink r:id="rId10" w:tooltip="https://wiki.arn-fai.net/_detail/benevoles:technique:arn-baie-face-2015-12.jpg?id=benevoles%3Atechnique%3Amatos" w:history="1">
        <w:r>
          <w:rPr>
            <w:rStyle w:val="798"/>
          </w:rPr>
          <w:t xml:space="preserve">https://wiki.arn-fai.net/_detail/benevoles:technique:arn-baie-face-2015-12.jpg?id=benevoles%3Atechnique%3Amatos</w:t>
        </w:r>
        <w:r>
          <w:rPr>
            <w:rStyle w:val="798"/>
          </w:rPr>
        </w:r>
        <w:r>
          <w:rPr>
            <w:rStyle w:val="798"/>
          </w:rPr>
        </w:r>
      </w:hyperlink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642"/>
        <w:rPr>
          <w:highlight w:val="none"/>
        </w:rPr>
      </w:pPr>
      <w:r>
        <w:rPr>
          <w:highlight w:val="none"/>
        </w:rPr>
        <w:t xml:space="preserve">Fonctionnalités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t xml:space="preserve">Fini le bruit dans le salon</w:t>
      </w:r>
      <w:r/>
    </w:p>
    <w:p>
      <w:pPr>
        <w:rPr>
          <w:highlight w:val="none"/>
        </w:rPr>
      </w:pPr>
      <w:r>
        <w:t xml:space="preserve">Votre serveur fera du bruit dans la baie d’ARN, plutôt que chez vous.</w:t>
      </w:r>
      <w:r/>
    </w:p>
    <w:p>
      <w:pPr>
        <w:pStyle w:val="644"/>
        <w:rPr>
          <w:highlight w:val="none"/>
        </w:rPr>
      </w:pPr>
      <w:r>
        <w:rPr>
          <w:highlight w:val="none"/>
        </w:rPr>
        <w:t xml:space="preserve">Format non standard</w:t>
      </w:r>
      <w:r/>
    </w:p>
    <w:p>
      <w:pPr>
        <w:rPr>
          <w:highlight w:val="none"/>
        </w:rPr>
      </w:pPr>
      <w:r>
        <w:rPr>
          <w:highlight w:val="none"/>
        </w:rPr>
        <w:t xml:space="preserve">En plus des machines rackable au format U, nous acceptons aussi les petites machines non rackables.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rPr>
          <w:highlight w:val="none"/>
        </w:rPr>
        <w:t xml:space="preserve">Électricité redondée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Si votre machine le supporte vous pouvez avoir 2 arrivées électriques.</w:t>
      </w:r>
      <w:r>
        <w:rPr>
          <w:highlight w:val="none"/>
        </w:rPr>
      </w:r>
      <w:r/>
    </w:p>
    <w:p>
      <w:pPr>
        <w:pStyle w:val="644"/>
      </w:pPr>
      <w:r>
        <w:rPr>
          <w:highlight w:val="none"/>
        </w:rPr>
        <w:t xml:space="preserve">Redémarrage électrique</w:t>
      </w:r>
      <w:r>
        <w:rPr>
          <w:highlight w:val="none"/>
        </w:rPr>
      </w:r>
      <w:r/>
    </w:p>
    <w:p>
      <w:pPr>
        <w:rPr>
          <w:highlight w:val="none"/>
        </w:rPr>
      </w:pPr>
      <w:r>
        <w:t xml:space="preserve">Il est possible de redémarrer votre serveur électriquement à distance</w:t>
      </w:r>
      <w:r/>
    </w:p>
    <w:p>
      <w:pPr>
        <w:pStyle w:val="644"/>
        <w:rPr>
          <w:highlight w:val="none"/>
        </w:rPr>
      </w:pPr>
      <w:r>
        <w:rPr>
          <w:highlight w:val="none"/>
        </w:rPr>
        <w:t xml:space="preserve">Reverse DNS</w:t>
      </w:r>
      <w:r>
        <w:rPr>
          <w:highlight w:val="none"/>
        </w:rPr>
      </w:r>
      <w:r/>
    </w:p>
    <w:p>
      <w:pPr>
        <w:rPr>
          <w:highlight w:val="none"/>
        </w:rPr>
      </w:pPr>
      <w:r>
        <w:t xml:space="preserve">Pour vous aider à acheminer vos mails, il est possible de personnaliser le reverse DNS en IPv4 et en IPV6.</w:t>
      </w:r>
      <w:r>
        <w:rPr>
          <w:highlight w:val="none"/>
        </w:rPr>
      </w:r>
      <w:r/>
    </w:p>
    <w:p>
      <w:pPr>
        <w:pStyle w:val="644"/>
      </w:pPr>
      <w:r>
        <w:rPr>
          <w:highlight w:val="none"/>
        </w:rPr>
        <w:t xml:space="preserve">Transit IP ou annonce possible</w:t>
      </w:r>
      <w:r/>
    </w:p>
    <w:p>
      <w:pPr>
        <w:rPr>
          <w:rFonts w:ascii="Arial" w:hAnsi="Arial" w:cs="Arial" w:eastAsia="Arial"/>
          <w:color w:val="000000"/>
          <w:highlight w:val="none"/>
        </w:rPr>
      </w:pPr>
      <w:r>
        <w:t xml:space="preserve">ARN peut vous aider à utiliser vos ressources IP </w:t>
      </w:r>
      <w:r>
        <w:rPr>
          <w:rFonts w:ascii="Arial" w:hAnsi="Arial" w:cs="Arial" w:eastAsia="Arial"/>
          <w:color w:val="000000"/>
        </w:rPr>
        <w:t xml:space="preserve">à travers l’annonces de vos IP ou une fourniture de transit IP.</w:t>
      </w:r>
      <w:r/>
    </w:p>
    <w:p>
      <w:pPr>
        <w:rPr>
          <w:rFonts w:ascii="Arial" w:hAnsi="Arial" w:cs="Arial" w:eastAsia="Arial"/>
          <w:color w:val="000000"/>
          <w:highlight w:val="none"/>
        </w:rPr>
      </w:pPr>
      <w:r>
        <w:rPr>
          <w:rFonts w:ascii="Arial" w:hAnsi="Arial" w:cs="Arial" w:eastAsia="Arial"/>
          <w:color w:val="000000"/>
          <w:highlight w:val="none"/>
        </w:rPr>
      </w:r>
      <w:r>
        <w:rPr>
          <w:rFonts w:ascii="Arial" w:hAnsi="Arial" w:cs="Arial" w:eastAsia="Arial"/>
          <w:color w:val="000000"/>
          <w:highlight w:val="none"/>
        </w:rPr>
      </w:r>
      <w:r/>
    </w:p>
    <w:p>
      <w:r>
        <w:rPr>
          <w:rFonts w:ascii="Arial" w:hAnsi="Arial" w:cs="Arial" w:eastAsia="Arial"/>
          <w:color w:val="000000"/>
          <w:highlight w:val="none"/>
        </w:rPr>
      </w:r>
      <w:r>
        <w:rPr>
          <w:rFonts w:ascii="Arial" w:hAnsi="Arial" w:cs="Arial" w:eastAsia="Arial"/>
          <w:color w:val="000000"/>
          <w:highlight w:val="none"/>
        </w:rPr>
      </w:r>
      <w:r/>
    </w:p>
    <w:p>
      <w:pPr>
        <w:pStyle w:val="642"/>
        <w:rPr>
          <w:highlight w:val="none"/>
        </w:rPr>
      </w:pPr>
      <w:r>
        <w:rPr>
          <w:highlight w:val="none"/>
        </w:rPr>
        <w:t xml:space="preserve">Prix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rPr>
          <w:highlight w:val="none"/>
        </w:rPr>
      </w:r>
      <w:r>
        <w:t xml:space="preserve">Équipement </w:t>
      </w:r>
      <w:r>
        <w:t xml:space="preserve">rackable 19"</w:t>
      </w:r>
      <w:r>
        <w:rPr>
          <w:highlight w:val="none"/>
        </w:rPr>
      </w:r>
      <w:r/>
    </w:p>
    <w:p>
      <w:pPr>
        <w:shd w:val="nil" w:color="000000"/>
        <w:rPr>
          <w:highlight w:val="none"/>
        </w:rPr>
      </w:pPr>
      <w:r>
        <w:rPr>
          <w:highlight w:val="none"/>
        </w:rPr>
        <w:t xml:space="preserve">Prix : 50€/mois par</w:t>
      </w:r>
      <w:r>
        <w:t xml:space="preserve"> U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rPr>
          <w:highlight w:val="none"/>
        </w:rPr>
        <w:t xml:space="preserve">NUC ou équivalent</w:t>
      </w:r>
      <w:r/>
    </w:p>
    <w:p>
      <w:pPr>
        <w:rPr>
          <w:highlight w:val="none"/>
        </w:rPr>
      </w:pPr>
      <w:r>
        <w:rPr>
          <w:i/>
          <w:highlight w:val="none"/>
        </w:rPr>
        <w:t xml:space="preserve">NUC, PC barebone, HP prodesk</w:t>
      </w:r>
      <w:r>
        <w:rPr>
          <w:i/>
          <w:highlight w:val="none"/>
        </w:rPr>
        <w:t xml:space="preserve">, etc</w:t>
      </w:r>
      <w:r>
        <w:rPr>
          <w:highlight w:val="none"/>
        </w:rPr>
        <w:br/>
        <w:t xml:space="preserve">Prix : 20€/mois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rPr>
          <w:highlight w:val="none"/>
        </w:rPr>
        <w:t xml:space="preserve">Petite carte ARM</w:t>
      </w:r>
      <w:r>
        <w:rPr>
          <w:highlight w:val="none"/>
        </w:rPr>
      </w:r>
      <w:r/>
    </w:p>
    <w:p>
      <w:pPr>
        <w:shd w:val="nil" w:color="000000"/>
        <w:rPr>
          <w:highlight w:val="none"/>
        </w:rPr>
      </w:pPr>
      <w:r>
        <w:rPr>
          <w:i/>
          <w:highlight w:val="none"/>
        </w:rPr>
        <w:t xml:space="preserve">Olinuxino, Raspberry pi, etc.</w:t>
      </w:r>
      <w:r>
        <w:rPr>
          <w:highlight w:val="none"/>
        </w:rPr>
        <w:br/>
        <w:t xml:space="preserve">Prix : 6€/mois</w:t>
      </w:r>
      <w:r>
        <w:rPr>
          <w:highlight w:val="none"/>
        </w:rPr>
      </w:r>
      <w:r/>
    </w:p>
    <w:p>
      <w:pPr>
        <w:shd w:val="nil" w:color="000000"/>
        <w:rPr>
          <w:highlight w:val="none"/>
        </w:rPr>
      </w:pPr>
      <w:r>
        <w:rPr>
          <w:i/>
          <w:highlight w:val="none"/>
        </w:rPr>
        <w:t xml:space="preserve">Prix</w:t>
      </w:r>
      <w:r>
        <w:rPr>
          <w:i/>
        </w:rPr>
        <w:t xml:space="preserve"> en franchise de TVA (art 293B du CGI) et sans engagement. </w:t>
      </w:r>
      <w:r>
        <w:rPr>
          <w:i/>
        </w:rPr>
        <w:t xml:space="preserve">Nécessite d’adhérer à l’association (15€/an).</w:t>
      </w:r>
      <w:r>
        <w:rPr>
          <w:i/>
        </w:rPr>
        <w:t xml:space="preserve"> Renouvellement de l’abonnement et de l’adhésion annuelle par tacite reconduction.</w:t>
      </w:r>
      <w:r/>
    </w:p>
    <w:p>
      <w:r/>
      <w:r/>
    </w:p>
    <w:p>
      <w:pPr>
        <w:pStyle w:val="642"/>
        <w:rPr>
          <w:highlight w:val="none"/>
        </w:rPr>
      </w:pPr>
      <w:r>
        <w:rPr>
          <w:highlight w:val="none"/>
        </w:rPr>
        <w:t xml:space="preserve">Comment souscrire ?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</w:pPr>
      <w:r>
        <w:t xml:space="preserve">Créer un compte sur l’espace membre</w:t>
      </w:r>
      <w:r>
        <w:t xml:space="preserve"> et demander le service</w:t>
      </w:r>
      <w:r/>
    </w:p>
    <w:p>
      <w:pPr>
        <w:pStyle w:val="816"/>
        <w:ind w:left="709" w:right="0" w:firstLine="0"/>
      </w:pPr>
      <w:r>
        <w:t xml:space="preserve">Comme la plupart de nos services, celui-ci est </w:t>
      </w:r>
      <w:r>
        <w:rPr>
          <w:b w:val="false"/>
        </w:rPr>
        <w:t xml:space="preserve">réservé aux membres de l'associatio</w:t>
      </w:r>
      <w:r>
        <w:t xml:space="preserve">n, il faut donc créer un compte sur l’</w:t>
      </w:r>
      <w:hyperlink r:id="rId11" w:tooltip="https://adherents.arn-fai.net/members/register/" w:history="1">
        <w:r>
          <w:rPr>
            <w:rStyle w:val="798"/>
          </w:rPr>
          <w:t xml:space="preserve">espace membre</w:t>
        </w:r>
      </w:hyperlink>
      <w:r>
        <w:rPr>
          <w:highlight w:val="none"/>
        </w:rPr>
        <w:t xml:space="preserve">, puis </w:t>
      </w:r>
      <w:r>
        <w:rPr>
          <w:highlight w:val="none"/>
        </w:rPr>
        <w:t xml:space="preserve">« </w:t>
      </w:r>
      <w:hyperlink r:id="rId12" w:tooltip="https://adherents.arn-fai.net/members/request_subscriptions/step1" w:history="1">
        <w:r>
          <w:rPr>
            <w:rStyle w:val="798"/>
            <w:highlight w:val="none"/>
          </w:rPr>
          <w:t xml:space="preserve">D</w:t>
        </w:r>
        <w:r>
          <w:rPr>
            <w:rStyle w:val="798"/>
          </w:rPr>
          <w:t xml:space="preserve">emander un nouvel abonnement</w:t>
        </w:r>
      </w:hyperlink>
      <w:r>
        <w:t xml:space="preserve"> ».</w:t>
      </w:r>
      <w:r>
        <w:t xml:space="preserve"> </w:t>
      </w:r>
      <w:r>
        <w:rPr>
          <w:highlight w:val="none"/>
        </w:rPr>
        <w:t xml:space="preserve">Vous êtes libre de payer l’adhésion à la réception du service.</w:t>
      </w:r>
      <w:r>
        <w:t xml:space="preserve"> </w:t>
      </w:r>
      <w:r/>
    </w:p>
    <w:p>
      <w:pPr>
        <w:pStyle w:val="820"/>
        <w:numPr>
          <w:ilvl w:val="0"/>
          <w:numId w:val="1"/>
        </w:numPr>
      </w:pPr>
      <w:r>
        <w:rPr>
          <w:highlight w:val="none"/>
        </w:rPr>
        <w:t xml:space="preserve">Validation</w:t>
      </w:r>
      <w:r/>
    </w:p>
    <w:p>
      <w:pPr>
        <w:ind w:left="709" w:firstLine="0"/>
      </w:pPr>
      <w:r>
        <w:rPr>
          <w:highlight w:val="none"/>
        </w:rPr>
      </w:r>
      <w:r>
        <w:rPr>
          <w:highlight w:val="none"/>
        </w:rPr>
        <w:t xml:space="preserve">L’équipe bénévole vous appelle ou vous c</w:t>
      </w:r>
      <w:r>
        <w:rPr>
          <w:highlight w:val="none"/>
        </w:rPr>
        <w:t xml:space="preserve">ontacte par mail pour vérifier la faisabilité du projet et valide votre demande. </w:t>
      </w:r>
      <w:r/>
    </w:p>
    <w:p>
      <w:pPr>
        <w:pStyle w:val="820"/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t xml:space="preserve">Pré-configuration</w:t>
      </w:r>
      <w:r>
        <w:rPr>
          <w:highlight w:val="none"/>
        </w:rPr>
      </w:r>
      <w:r/>
    </w:p>
    <w:p>
      <w:pPr>
        <w:ind w:left="709" w:firstLine="0"/>
        <w:rPr>
          <w:highlight w:val="none"/>
        </w:rPr>
      </w:pPr>
      <w:r>
        <w:rPr>
          <w:highlight w:val="none"/>
        </w:rPr>
      </w:r>
      <w:r>
        <w:t xml:space="preserve">Une fois votre service validé, vous pouvez accéder aux informations et documentation le concernant sur la page « </w:t>
      </w:r>
      <w:hyperlink r:id="rId13" w:tooltip="https://adherents.arn-fai.net/members/subscriptions/" w:history="1">
        <w:r>
          <w:rPr>
            <w:rStyle w:val="798"/>
          </w:rPr>
          <w:t xml:space="preserve">Mes abonnements</w:t>
        </w:r>
      </w:hyperlink>
      <w:r>
        <w:t xml:space="preserve"> »</w:t>
      </w:r>
      <w:r>
        <w:t xml:space="preserve">. </w:t>
      </w:r>
      <w:r>
        <w:rPr>
          <w:highlight w:val="none"/>
        </w:rPr>
        <w:t xml:space="preserve">Vous devez dés lors pré-configurer votre machine pour</w:t>
      </w:r>
      <w:r>
        <w:rPr>
          <w:highlight w:val="none"/>
        </w:rPr>
        <w:t xml:space="preserve"> faciliter sa configuration au datacenter. 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Pose sur place</w:t>
      </w:r>
      <w:r>
        <w:rPr>
          <w:highlight w:val="none"/>
        </w:rPr>
      </w:r>
      <w:r/>
    </w:p>
    <w:p>
      <w:pPr>
        <w:ind w:left="709" w:firstLine="0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L’équipe bénévole prends rendez-vous avec vous pour la pose sur place.</w:t>
      </w:r>
      <w:r>
        <w:rPr>
          <w:highlight w:val="none"/>
        </w:rPr>
      </w:r>
      <w:r/>
    </w:p>
    <w:p>
      <w:pPr>
        <w:pStyle w:val="820"/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t xml:space="preserve">V</w:t>
      </w:r>
      <w:r>
        <w:rPr>
          <w:highlight w:val="none"/>
        </w:rPr>
        <w:t xml:space="preserve">érification du bon fonctionnement et paiement</w:t>
      </w:r>
      <w:r>
        <w:rPr>
          <w:highlight w:val="none"/>
        </w:rPr>
      </w:r>
      <w:r/>
    </w:p>
    <w:p>
      <w:pPr>
        <w:ind w:left="709" w:firstLine="0"/>
      </w:pPr>
      <w:r>
        <w:rPr>
          <w:highlight w:val="none"/>
        </w:rPr>
      </w:r>
      <w:r>
        <w:t xml:space="preserve">Une fois votre service mis en place, vous pouvez accéder aux informations et documentation le concernant sur la page « </w:t>
      </w:r>
      <w:hyperlink r:id="rId14" w:tooltip="https://adherents.arn-fai.net/members/subscriptions/" w:history="1">
        <w:r>
          <w:rPr>
            <w:rStyle w:val="798"/>
          </w:rPr>
          <w:t xml:space="preserve">Mes abonnements</w:t>
        </w:r>
      </w:hyperlink>
      <w:r>
        <w:t xml:space="preserve"> »</w:t>
      </w:r>
      <w:r>
        <w:t xml:space="preserve">. M</w:t>
      </w:r>
      <w:r>
        <w:t xml:space="preserve">erci de procéder au paiement de l’adhésion si ce n’est pas déjà fait et à la mise en place d’un virement permanent ou à défaut de payer plusieurs mois d’avance.</w:t>
      </w:r>
      <w:r/>
    </w:p>
    <w:p>
      <w:r/>
      <w:r/>
    </w:p>
    <w:p>
      <w:r/>
      <w:r/>
    </w:p>
    <w:p>
      <w:pPr>
        <w:pStyle w:val="642"/>
      </w:pPr>
      <w:r>
        <w:rPr>
          <w:highlight w:val="none"/>
        </w:rPr>
        <w:t xml:space="preserve">FAQ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rPr>
          <w:highlight w:val="none"/>
        </w:rPr>
        <w:t xml:space="preserve">Pourquoi dois-je adhérer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Chez Alsace Réseau Neutre, association à but non lucratif sans personne salariée, </w:t>
      </w:r>
      <w:r>
        <w:rPr>
          <w:highlight w:val="none"/>
        </w:rPr>
        <w:t xml:space="preserve">vous n’êtes pas client⋅es d’un fournisseur, mais bien membre d’un collectif qui s’organise pour construire un bout d’internet utopique et influencer les politiques numériques vers des schémas plus vertueux.</w:t>
      </w:r>
      <w:r>
        <w:rPr>
          <w:highlight w:val="none"/>
        </w:rPr>
        <w:t xml:space="preserve"> 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Par ailleurs, nous souhaitons que les personnes abonnées aient du pouvoir sur l’avenir de leur service.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Que signifie « Prix en franchise de TVA »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La franchise de TVA signifie qu’à ce jour ARN n’est pas soumis à la TVA. Le montant « Hors Taxe » est donc égal au montant « Toutes Taxes Comprises ».</w:t>
      </w:r>
      <w:r>
        <w:rPr>
          <w:highlight w:val="none"/>
        </w:rPr>
      </w:r>
      <w:r/>
    </w:p>
    <w:p>
      <w:pPr>
        <w:pStyle w:val="644"/>
      </w:pPr>
      <w:r>
        <w:t xml:space="preserve">Y-a-t’il un engagement ?</w:t>
      </w:r>
      <w:r/>
    </w:p>
    <w:p>
      <w:r>
        <w:t xml:space="preserve">Non, en revanche les services sont renouvelé tacitement pour un mois chaque 1er du mois. </w:t>
      </w:r>
      <w:r/>
    </w:p>
    <w:p>
      <w:r>
        <w:t xml:space="preserve">Si vous ne vous servez plus du service, n’oubliez pas de sauvegarder vos données et de résilier l’abonnement.</w:t>
      </w:r>
      <w:r/>
    </w:p>
    <w:p>
      <w:pPr>
        <w:pStyle w:val="644"/>
      </w:pPr>
      <w:r>
        <w:t xml:space="preserve">Comment payer ?</w:t>
      </w:r>
      <w:r/>
    </w:p>
    <w:p>
      <w:pPr>
        <w:shd w:val="nil" w:color="000000"/>
      </w:pPr>
      <w:r>
        <w:t xml:space="preserve">Le mois de la souscription est une période d'essai jusqu’au premier du mois suivant où la facturation de la période suivante débute. </w:t>
      </w:r>
      <w:r>
        <w:t xml:space="preserve">Le premier paiement est donc attendu au plus tard dans la première quinzaine du mois suivant avec possibilité de régler jusqu'à 12 mois d'avance en une seule fois.</w:t>
      </w:r>
      <w:r/>
    </w:p>
    <w:p>
      <w:pPr>
        <w:shd w:val="nil" w:color="000000"/>
        <w:rPr>
          <w:highlight w:val="none"/>
        </w:rPr>
      </w:pPr>
      <w:r>
        <w:t xml:space="preserve">Le paiement est a effectué par virement bancaire. Les références bancaires se trouvent dans l'espace membre. N'oubliez pas d'indiquer « ID » + le numéro d'identifiant qui vous a été attribué, tel que demandé dans l'espace membre.</w:t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t xml:space="preserve">Où se trouve le datacenter qui héberge les serveurs d'ARN ?</w:t>
      </w:r>
      <w:r>
        <w:rPr>
          <w:highlight w:val="none"/>
        </w:rPr>
      </w:r>
      <w:r/>
    </w:p>
    <w:p>
      <w:pPr>
        <w:shd w:val="nil" w:color="000000"/>
        <w:rPr>
          <w:highlight w:val="none"/>
        </w:rPr>
      </w:pPr>
      <w:r>
        <w:t xml:space="preserve">Il s'agit du datacenter Cogent situé 46 route de Bischwiller à Schiltigheim, Alsace, France.</w:t>
      </w:r>
      <w:r/>
    </w:p>
    <w:p>
      <w:pPr>
        <w:pStyle w:val="644"/>
        <w:rPr>
          <w:highlight w:val="none"/>
        </w:rPr>
      </w:pPr>
      <w:r>
        <w:rPr>
          <w:highlight w:val="none"/>
        </w:rPr>
        <w:t xml:space="preserve">Comment puis-je intervenir sur le serveur ?</w:t>
      </w:r>
      <w:r>
        <w:rPr>
          <w:highlight w:val="none"/>
        </w:rPr>
      </w:r>
      <w:r/>
    </w:p>
    <w:p>
      <w:pPr>
        <w:shd w:val="nil" w:color="000000"/>
      </w:pPr>
      <w:r>
        <w:rPr>
          <w:rFonts w:ascii="Arial" w:hAnsi="Arial" w:cs="Arial" w:eastAsia="Arial"/>
          <w:color w:val="000000"/>
          <w:highlight w:val="none"/>
        </w:rPr>
      </w:r>
      <w:r>
        <w:rPr>
          <w:rFonts w:ascii="Arial" w:hAnsi="Arial" w:cs="Arial" w:eastAsia="Arial"/>
          <w:b/>
          <w:color w:val="000000"/>
          <w:sz w:val="24"/>
        </w:rPr>
        <w:t xml:space="preserve">Redémarrage à distance</w:t>
      </w:r>
      <w:r>
        <w:rPr>
          <w:rFonts w:ascii="Arial" w:hAnsi="Arial" w:cs="Arial" w:eastAsia="Arial"/>
          <w:color w:val="000000"/>
        </w:rPr>
        <w:t xml:space="preserve"> : e</w:t>
      </w:r>
      <w:r>
        <w:rPr>
          <w:rFonts w:ascii="Arial" w:hAnsi="Arial" w:cs="Arial" w:eastAsia="Arial"/>
          <w:color w:val="000000"/>
        </w:rPr>
        <w:t xml:space="preserve">n cas de plantage de votre machine ou de la commission d'une erreur qui vous empêche d'avoir un accès distant à celle-ci (mauvaise configuration du pare-feu, machine qui ne redémarre pas comme prévu, etc.), l'association peut la redémarrer électriquement </w:t>
      </w:r>
      <w:r>
        <w:rPr>
          <w:rFonts w:ascii="Arial" w:hAnsi="Arial" w:cs="Arial" w:eastAsia="Arial"/>
          <w:color w:val="000000"/>
        </w:rPr>
        <w:t xml:space="preserve">à distance grâce à ses </w:t>
      </w:r>
      <w:hyperlink r:id="rId15" w:tooltip="https://wiki.arn-fai.net/technique:pdu" w:history="1">
        <w:r>
          <w:rPr>
            <w:rStyle w:val="798"/>
            <w:rFonts w:ascii="Arial" w:hAnsi="Arial" w:cs="Arial" w:eastAsia="Arial"/>
            <w:color w:val="0000EE"/>
            <w:sz w:val="24"/>
            <w:u w:val="single"/>
          </w:rPr>
          <w:t xml:space="preserve">PDU</w:t>
        </w:r>
      </w:hyperlink>
      <w:r>
        <w:rPr>
          <w:rFonts w:ascii="Arial" w:hAnsi="Arial" w:cs="Arial" w:eastAsia="Arial"/>
          <w:color w:val="000000"/>
        </w:rPr>
        <w:t xml:space="preserve"> (multiprises programmables). Un tel redémarrage est à demander par email aux admins.</w:t>
      </w:r>
      <w:r>
        <w:rPr>
          <w:rFonts w:ascii="Arial" w:hAnsi="Arial" w:cs="Arial" w:eastAsia="Arial"/>
          <w:color w:val="000000"/>
          <w:highlight w:val="none"/>
        </w:rPr>
      </w:r>
      <w:r/>
    </w:p>
    <w:p>
      <w:pPr>
        <w:shd w:val="nil" w:color="000000"/>
        <w:rPr>
          <w:rFonts w:ascii="Arial" w:hAnsi="Arial" w:cs="Arial" w:eastAsia="Arial"/>
          <w:color w:val="000000"/>
          <w:highlight w:val="none"/>
        </w:rPr>
      </w:pPr>
      <w:r>
        <w:rPr>
          <w:highlight w:val="none"/>
        </w:rPr>
      </w:r>
      <w:r>
        <w:rPr>
          <w:rFonts w:ascii="Arial" w:hAnsi="Arial" w:cs="Arial" w:eastAsia="Arial"/>
          <w:b/>
          <w:color w:val="000000"/>
          <w:sz w:val="24"/>
        </w:rPr>
        <w:t xml:space="preserve">Accès physique</w:t>
      </w:r>
      <w:r>
        <w:rPr>
          <w:rFonts w:ascii="Arial" w:hAnsi="Arial" w:cs="Arial" w:eastAsia="Arial"/>
          <w:color w:val="000000"/>
        </w:rPr>
        <w:t xml:space="preserve"> : n</w:t>
      </w:r>
      <w:r>
        <w:rPr>
          <w:rFonts w:ascii="Arial" w:hAnsi="Arial" w:cs="Arial" w:eastAsia="Arial"/>
          <w:color w:val="000000"/>
        </w:rPr>
        <w:t xml:space="preserve">ous ne distribuons pas de badge pour accéder en toute autonomie à votre machine donc vous serez accompagné d'un membre de l'équipe technique de l'association lors de chacune de vos interventions sur site.</w:t>
      </w:r>
      <w:r>
        <w:rPr>
          <w:highlight w:val="none"/>
        </w:rPr>
      </w:r>
      <w:r/>
    </w:p>
    <w:p>
      <w:pPr>
        <w:pStyle w:val="644"/>
      </w:pPr>
      <w:r>
        <w:t xml:space="preserve">Quel est le débit ?</w:t>
      </w:r>
      <w:r/>
    </w:p>
    <w:p>
      <w:pPr>
        <w:shd w:val="nil" w:color="000000"/>
        <w:rPr>
          <w:highlight w:val="none"/>
        </w:rPr>
      </w:pPr>
      <w:r>
        <w:t xml:space="preserve">Capacité max. : </w:t>
      </w:r>
      <w:hyperlink r:id="rId16" w:tooltip="http://arn-fai.net/factu-opes#graphes-du-trafic-r-seau-de-l-association" w:history="1">
        <w:r>
          <w:t xml:space="preserve">100 Mbps mutualisés</w:t>
        </w:r>
      </w:hyperlink>
      <w:r>
        <w:t xml:space="preserve"> entre tous les services et membres de l’association, aucune limite de volume. </w:t>
      </w:r>
      <w:r>
        <w:rPr>
          <w:highlight w:val="none"/>
        </w:rPr>
      </w:r>
      <w:hyperlink r:id="rId17" w:tooltip="https://arn-fai.net/factu-opes#est-ce-qu-un-e-gros-sse-t-l-chargeur-se-p-nalise-l-association-" w:history="1">
        <w:r>
          <w:rPr>
            <w:rStyle w:val="798"/>
            <w:rFonts w:ascii="Arial" w:hAnsi="Arial" w:cs="Arial" w:eastAsia="Arial"/>
            <w:color w:val="0000EE"/>
            <w:sz w:val="24"/>
            <w:u w:val="single"/>
          </w:rPr>
          <w:t xml:space="preserve">Est-ce qu'une personne qui télécharge beaucoup pénalise l'association ?</w:t>
        </w:r>
      </w:hyperlink>
      <w:r>
        <w:rPr>
          <w:highlight w:val="none"/>
        </w:rPr>
      </w:r>
      <w:r/>
    </w:p>
    <w:p>
      <w:pPr>
        <w:pStyle w:val="644"/>
      </w:pPr>
      <w:r>
        <w:rPr>
          <w:highlight w:val="none"/>
        </w:rPr>
      </w:r>
      <w:r>
        <w:t xml:space="preserve">Est-ce que l’association conserve des informations / traces / logs ?</w:t>
      </w:r>
      <w:r>
        <w:rPr>
          <w:highlight w:val="none"/>
        </w:rPr>
      </w:r>
      <w:r/>
    </w:p>
    <w:p>
      <w:pPr>
        <w:pStyle w:val="816"/>
        <w:rPr>
          <w:highlight w:val="none"/>
        </w:rPr>
      </w:pPr>
      <w:r>
        <w:rPr>
          <w:highlight w:val="none"/>
        </w:rPr>
        <w:t xml:space="preserve">Nous loguons :</w:t>
      </w:r>
      <w:r>
        <w:rPr>
          <w:highlight w:val="none"/>
        </w:rPr>
      </w:r>
      <w:r/>
    </w:p>
    <w:p>
      <w:pPr>
        <w:pStyle w:val="820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votre identité</w:t>
      </w:r>
      <w:r>
        <w:rPr>
          <w:highlight w:val="none"/>
        </w:rPr>
      </w:r>
      <w:r/>
    </w:p>
    <w:p>
      <w:pPr>
        <w:pStyle w:val="820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quelles sont les IPs ARN qui vous sont attribuées</w:t>
      </w:r>
      <w:r>
        <w:rPr>
          <w:highlight w:val="none"/>
        </w:rPr>
      </w:r>
      <w:r/>
    </w:p>
    <w:p>
      <w:pPr>
        <w:pStyle w:val="820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la période d’attribution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Toutefois, nous vous invitons à lire la clause « Mésusage des services » de nos CGS. </w:t>
      </w:r>
      <w:r>
        <w:rPr>
          <w:highlight w:val="none"/>
        </w:rPr>
        <w:t xml:space="preserve">Notez que dans le cadre d’une enquête, nous pourrions être contraint</w:t>
      </w:r>
      <w:r>
        <w:rPr>
          <w:highlight w:val="none"/>
        </w:rPr>
        <w:t xml:space="preserve">s</w:t>
      </w:r>
      <w:r>
        <w:rPr>
          <w:highlight w:val="none"/>
        </w:rPr>
        <w:t xml:space="preserve"> légalement de permettre une mise sur écoute de votre IP.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644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Puis-je miner des crypto-monnaies consommatrices d’énergie sur le serveur installé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Non.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TODO</w:t>
      </w:r>
      <w:r>
        <w:rPr>
          <w:highlight w:val="none"/>
        </w:rPr>
      </w:r>
      <w:r/>
    </w:p>
    <w:tbl>
      <w:tblPr>
        <w:tblStyle w:val="672"/>
        <w:tblW w:w="0" w:type="auto"/>
        <w:tblInd w:w="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insideV w:val="none" w:color="000000" w:sz="4" w:space="0"/>
          <w:insideH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9354" w:type="dxa"/>
            <w:vAlign w:val="center"/>
            <w:textDirection w:val="lrTb"/>
            <w:noWrap w:val="false"/>
          </w:tcPr>
          <w:p>
            <w:pPr>
              <w:spacing w:lineRule="atLeast" w:line="57" w:after="0" w:before="0"/>
            </w:pPr>
            <w:r>
              <w:rPr>
                <w:rFonts w:ascii="Arial" w:hAnsi="Arial" w:cs="Arial" w:eastAsia="Arial"/>
                <w:b/>
                <w:color w:val="000000"/>
                <w:sz w:val="24"/>
              </w:rPr>
              <w:t xml:space="preserve">Redondance</w:t>
            </w:r>
            <w:r>
              <w:rPr>
                <w:rFonts w:ascii="Arial" w:hAnsi="Arial" w:cs="Arial" w:eastAsia="Arial"/>
                <w:color w:val="000000"/>
              </w:rPr>
              <w:t xml:space="preserve"> : nous avons deux routeurs vers/depuis Internet et nous utilisons le protocole </w:t>
            </w:r>
            <w:hyperlink r:id="rId18" w:tooltip="https://wiki.arn-fai.net/technique:carp" w:history="1">
              <w:r>
                <w:rPr>
                  <w:rStyle w:val="798"/>
                  <w:rFonts w:ascii="Arial" w:hAnsi="Arial" w:cs="Arial" w:eastAsia="Arial"/>
                  <w:color w:val="0000EE"/>
                  <w:sz w:val="24"/>
                  <w:u w:val="single"/>
                </w:rPr>
                <w:t xml:space="preserve">CARP</w:t>
              </w:r>
            </w:hyperlink>
            <w:r>
              <w:rPr>
                <w:rFonts w:ascii="Arial" w:hAnsi="Arial" w:cs="Arial" w:eastAsia="Arial"/>
                <w:color w:val="000000"/>
              </w:rPr>
              <w:t xml:space="preserve"> (VRRP-like). En cas de panne matérielle ou de maintenance planifiée sur l'un de nos routeurs, votre machine conserve un accès à Internet sans interruption.</w:t>
            </w:r>
            <w:r/>
          </w:p>
        </w:tc>
      </w:tr>
      <w:tr>
        <w:trPr/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9354" w:type="dxa"/>
            <w:vAlign w:val="center"/>
            <w:textDirection w:val="lrTb"/>
            <w:noWrap w:val="false"/>
          </w:tcPr>
          <w:p>
            <w:pPr>
              <w:spacing w:lineRule="atLeast" w:line="57" w:after="0" w:before="0"/>
            </w:pPr>
            <w:r>
              <w:rPr>
                <w:rFonts w:ascii="Arial" w:hAnsi="Arial" w:cs="Arial" w:eastAsia="Arial"/>
                <w:b/>
                <w:color w:val="000000"/>
                <w:sz w:val="24"/>
              </w:rPr>
              <w:t xml:space="preserve">Isolation</w:t>
            </w:r>
            <w:r>
              <w:rPr>
                <w:rFonts w:ascii="Arial" w:hAnsi="Arial" w:cs="Arial" w:eastAsia="Arial"/>
                <w:color w:val="000000"/>
              </w:rPr>
              <w:t xml:space="preserve"> : nous allouons un VLAN à chaque abonné-e. Seuls vos machines et nos routeurs se trouvent dans ce VLAN.</w:t>
            </w:r>
            <w:r/>
          </w:p>
        </w:tc>
      </w:tr>
    </w:tbl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tbl>
      <w:tblPr>
        <w:tblStyle w:val="672"/>
        <w:tblW w:w="0" w:type="auto"/>
        <w:tblInd w:w="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insideV w:val="none" w:color="000000" w:sz="4" w:space="0"/>
          <w:insideH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9354" w:type="dxa"/>
            <w:vAlign w:val="center"/>
            <w:textDirection w:val="lrTb"/>
            <w:noWrap w:val="false"/>
          </w:tcPr>
          <w:p>
            <w:pPr>
              <w:spacing w:lineRule="atLeast" w:line="57" w:after="0" w:before="0"/>
            </w:pPr>
            <w:r>
              <w:rPr>
                <w:rFonts w:ascii="Arial" w:hAnsi="Arial" w:cs="Arial" w:eastAsia="Arial"/>
                <w:b/>
                <w:color w:val="000000"/>
                <w:sz w:val="24"/>
              </w:rPr>
              <w:t xml:space="preserve">Standard</w:t>
            </w:r>
            <w:r>
              <w:rPr>
                <w:rFonts w:ascii="Arial" w:hAnsi="Arial" w:cs="Arial" w:eastAsia="Arial"/>
                <w:color w:val="000000"/>
              </w:rPr>
              <w:t xml:space="preserve"> : 1 adresse IPv4 fixe + un réseau IPv6 /56 fixe. Nous ne proposons pas d'adresses IP dynamiques, ni en IPv4, ni en IPv6.</w:t>
            </w:r>
            <w:r/>
          </w:p>
        </w:tc>
      </w:tr>
      <w:tr>
        <w:trPr/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9354" w:type="dxa"/>
            <w:vAlign w:val="center"/>
            <w:textDirection w:val="lrTb"/>
            <w:noWrap w:val="false"/>
          </w:tcPr>
          <w:p>
            <w:pPr>
              <w:spacing w:lineRule="atLeast" w:line="57" w:after="0" w:before="0"/>
            </w:pPr>
            <w:r>
              <w:rPr>
                <w:rFonts w:ascii="Arial" w:hAnsi="Arial" w:cs="Arial" w:eastAsia="Arial"/>
                <w:b/>
                <w:color w:val="000000"/>
                <w:sz w:val="24"/>
              </w:rPr>
              <w:t xml:space="preserve">Sur demande</w:t>
            </w:r>
            <w:r>
              <w:rPr>
                <w:rFonts w:ascii="Arial" w:hAnsi="Arial" w:cs="Arial" w:eastAsia="Arial"/>
                <w:color w:val="000000"/>
              </w:rPr>
              <w:t xml:space="preserve"> : si vous disposez de vos propres préfixes IP et/ou numéro d'AS, nous savons annoncer vos allocations IPv4/IPv6 avec notre numéro d'AS (60630) ou relayer vos annonces BGP (transit IP).</w:t>
            </w:r>
            <w:r/>
          </w:p>
        </w:tc>
      </w:tr>
    </w:tbl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6"/>
    <w:next w:val="816"/>
    <w:link w:val="64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1">
    <w:name w:val="Heading 1 Char"/>
    <w:link w:val="640"/>
    <w:uiPriority w:val="9"/>
    <w:rPr>
      <w:rFonts w:ascii="Arial" w:hAnsi="Arial" w:cs="Arial" w:eastAsia="Arial"/>
      <w:sz w:val="40"/>
      <w:szCs w:val="40"/>
    </w:rPr>
  </w:style>
  <w:style w:type="paragraph" w:styleId="642">
    <w:name w:val="Heading 2"/>
    <w:basedOn w:val="816"/>
    <w:next w:val="816"/>
    <w:link w:val="64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3">
    <w:name w:val="Heading 2 Char"/>
    <w:link w:val="642"/>
    <w:uiPriority w:val="9"/>
    <w:rPr>
      <w:rFonts w:ascii="Arial" w:hAnsi="Arial" w:cs="Arial" w:eastAsia="Arial"/>
      <w:sz w:val="34"/>
    </w:rPr>
  </w:style>
  <w:style w:type="paragraph" w:styleId="644">
    <w:name w:val="Heading 3"/>
    <w:basedOn w:val="816"/>
    <w:next w:val="816"/>
    <w:link w:val="64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5">
    <w:name w:val="Heading 3 Char"/>
    <w:link w:val="644"/>
    <w:uiPriority w:val="9"/>
    <w:rPr>
      <w:rFonts w:ascii="Arial" w:hAnsi="Arial" w:cs="Arial" w:eastAsia="Arial"/>
      <w:sz w:val="30"/>
      <w:szCs w:val="30"/>
    </w:rPr>
  </w:style>
  <w:style w:type="paragraph" w:styleId="646">
    <w:name w:val="Heading 4"/>
    <w:basedOn w:val="816"/>
    <w:next w:val="816"/>
    <w:link w:val="64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7">
    <w:name w:val="Heading 4 Char"/>
    <w:link w:val="646"/>
    <w:uiPriority w:val="9"/>
    <w:rPr>
      <w:rFonts w:ascii="Arial" w:hAnsi="Arial" w:cs="Arial" w:eastAsia="Arial"/>
      <w:b/>
      <w:bCs/>
      <w:sz w:val="26"/>
      <w:szCs w:val="26"/>
    </w:rPr>
  </w:style>
  <w:style w:type="paragraph" w:styleId="648">
    <w:name w:val="Heading 5"/>
    <w:basedOn w:val="816"/>
    <w:next w:val="816"/>
    <w:link w:val="64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9">
    <w:name w:val="Heading 5 Char"/>
    <w:link w:val="648"/>
    <w:uiPriority w:val="9"/>
    <w:rPr>
      <w:rFonts w:ascii="Arial" w:hAnsi="Arial" w:cs="Arial" w:eastAsia="Arial"/>
      <w:b/>
      <w:bCs/>
      <w:sz w:val="24"/>
      <w:szCs w:val="24"/>
    </w:rPr>
  </w:style>
  <w:style w:type="paragraph" w:styleId="650">
    <w:name w:val="Heading 6"/>
    <w:basedOn w:val="816"/>
    <w:next w:val="816"/>
    <w:link w:val="65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51">
    <w:name w:val="Heading 6 Char"/>
    <w:link w:val="650"/>
    <w:uiPriority w:val="9"/>
    <w:rPr>
      <w:rFonts w:ascii="Arial" w:hAnsi="Arial" w:cs="Arial" w:eastAsia="Arial"/>
      <w:b/>
      <w:bCs/>
      <w:sz w:val="22"/>
      <w:szCs w:val="22"/>
    </w:rPr>
  </w:style>
  <w:style w:type="paragraph" w:styleId="652">
    <w:name w:val="Heading 7"/>
    <w:basedOn w:val="816"/>
    <w:next w:val="816"/>
    <w:link w:val="65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3">
    <w:name w:val="Heading 7 Char"/>
    <w:link w:val="65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4">
    <w:name w:val="Heading 8"/>
    <w:basedOn w:val="816"/>
    <w:next w:val="816"/>
    <w:link w:val="65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5">
    <w:name w:val="Heading 8 Char"/>
    <w:link w:val="654"/>
    <w:uiPriority w:val="9"/>
    <w:rPr>
      <w:rFonts w:ascii="Arial" w:hAnsi="Arial" w:cs="Arial" w:eastAsia="Arial"/>
      <w:i/>
      <w:iCs/>
      <w:sz w:val="22"/>
      <w:szCs w:val="22"/>
    </w:rPr>
  </w:style>
  <w:style w:type="paragraph" w:styleId="656">
    <w:name w:val="Heading 9"/>
    <w:basedOn w:val="816"/>
    <w:next w:val="816"/>
    <w:link w:val="65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7">
    <w:name w:val="Heading 9 Char"/>
    <w:link w:val="656"/>
    <w:uiPriority w:val="9"/>
    <w:rPr>
      <w:rFonts w:ascii="Arial" w:hAnsi="Arial" w:cs="Arial" w:eastAsia="Arial"/>
      <w:i/>
      <w:iCs/>
      <w:sz w:val="21"/>
      <w:szCs w:val="21"/>
    </w:rPr>
  </w:style>
  <w:style w:type="paragraph" w:styleId="658">
    <w:name w:val="Title"/>
    <w:basedOn w:val="816"/>
    <w:next w:val="816"/>
    <w:link w:val="65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qFormat/>
    <w:uiPriority w:val="11"/>
    <w:rPr>
      <w:sz w:val="24"/>
      <w:szCs w:val="24"/>
    </w:rPr>
    <w:pPr>
      <w:spacing w:after="200" w:before="200"/>
    </w:p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qFormat/>
    <w:uiPriority w:val="29"/>
    <w:rPr>
      <w:i/>
    </w:rPr>
    <w:pPr>
      <w:ind w:left="720" w:right="720"/>
    </w:p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1">
    <w:name w:val="Grid Table 4 - Accent 1"/>
    <w:basedOn w:val="81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2">
    <w:name w:val="Grid Table 4 - Accent 2"/>
    <w:basedOn w:val="81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3">
    <w:name w:val="Grid Table 4 - Accent 3"/>
    <w:basedOn w:val="81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4">
    <w:name w:val="Grid Table 4 - Accent 4"/>
    <w:basedOn w:val="81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5">
    <w:name w:val="Grid Table 4 - Accent 5"/>
    <w:basedOn w:val="81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6">
    <w:name w:val="Grid Table 4 - Accent 6"/>
    <w:basedOn w:val="81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7">
    <w:name w:val="Grid Table 5 Dark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8">
    <w:name w:val="Grid Table 5 Dark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11">
    <w:name w:val="Grid Table 5 Dark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2">
    <w:name w:val="Grid Table 5 Dark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3">
    <w:name w:val="Grid Table 5 Dark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4">
    <w:name w:val="Grid Table 6 Colorful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6">
    <w:name w:val="List Table 2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7">
    <w:name w:val="List Table 2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8">
    <w:name w:val="List Table 2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9">
    <w:name w:val="List Table 2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0">
    <w:name w:val="List Table 2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1">
    <w:name w:val="List Table 2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2">
    <w:name w:val="List Table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4">
    <w:name w:val="List Table 6 Colorful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5">
    <w:name w:val="List Table 6 Colorful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6">
    <w:name w:val="List Table 6 Colorful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7">
    <w:name w:val="List Table 6 Colorful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8">
    <w:name w:val="List Table 6 Colorful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9">
    <w:name w:val="List Table 6 Colorful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0">
    <w:name w:val="List Table 7 Colorful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8">
    <w:name w:val="Lined - Accent 1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9">
    <w:name w:val="Lined - Accent 2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0">
    <w:name w:val="Lined - Accent 3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1">
    <w:name w:val="Lined - Accent 4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2">
    <w:name w:val="Lined - Accent 5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3">
    <w:name w:val="Lined - Accent 6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4">
    <w:name w:val="Bordered &amp; Lined - Accent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5">
    <w:name w:val="Bordered &amp; Lined - Accent 1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6">
    <w:name w:val="Bordered &amp; Lined - Accent 2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7">
    <w:name w:val="Bordered &amp; Lined - Accent 3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8">
    <w:name w:val="Bordered &amp; Lined - Accent 4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9">
    <w:name w:val="Bordered &amp; Lined - Accent 5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90">
    <w:name w:val="Bordered &amp; Lined - Accent 6"/>
    <w:basedOn w:val="81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91">
    <w:name w:val="Bordered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2">
    <w:name w:val="Bordered - Accent 1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3">
    <w:name w:val="Bordered - Accent 2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4">
    <w:name w:val="Bordered - Accent 3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5">
    <w:name w:val="Bordered - Accent 4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6">
    <w:name w:val="Bordered - Accent 5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7">
    <w:name w:val="Bordered - Accent 6"/>
    <w:basedOn w:val="81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rPr>
      <w:sz w:val="18"/>
    </w:rPr>
    <w:pPr>
      <w:spacing w:lineRule="auto" w:line="240" w:after="40"/>
    </w:p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rPr>
      <w:sz w:val="20"/>
    </w:rPr>
    <w:pPr>
      <w:spacing w:lineRule="auto" w:line="240" w:after="0"/>
    </w:p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qFormat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paragraph" w:styleId="819">
    <w:name w:val="No Spacing"/>
    <w:basedOn w:val="816"/>
    <w:qFormat/>
    <w:uiPriority w:val="1"/>
    <w:pPr>
      <w:spacing w:lineRule="auto" w:line="240" w:after="0"/>
    </w:pPr>
  </w:style>
  <w:style w:type="paragraph" w:styleId="820">
    <w:name w:val="List Paragraph"/>
    <w:basedOn w:val="816"/>
    <w:qFormat/>
    <w:uiPriority w:val="34"/>
    <w:pPr>
      <w:contextualSpacing w:val="true"/>
      <w:ind w:left="720"/>
    </w:pPr>
  </w:style>
  <w:style w:type="character" w:styleId="82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wiki.arn-fai.net/_detail/benevoles:technique:arn-baie-face-2015-12.jpg?id=benevoles%3Atechnique%3Amatos" TargetMode="External"/><Relationship Id="rId11" Type="http://schemas.openxmlformats.org/officeDocument/2006/relationships/hyperlink" Target="https://adherents.arn-fai.net/members/register/" TargetMode="External"/><Relationship Id="rId12" Type="http://schemas.openxmlformats.org/officeDocument/2006/relationships/hyperlink" Target="https://adherents.arn-fai.net/members/request_subscriptions/step1" TargetMode="External"/><Relationship Id="rId13" Type="http://schemas.openxmlformats.org/officeDocument/2006/relationships/hyperlink" Target="https://adherents.arn-fai.net/members/subscriptions/" TargetMode="External"/><Relationship Id="rId14" Type="http://schemas.openxmlformats.org/officeDocument/2006/relationships/hyperlink" Target="https://adherents.arn-fai.net/members/subscriptions/" TargetMode="External"/><Relationship Id="rId15" Type="http://schemas.openxmlformats.org/officeDocument/2006/relationships/hyperlink" Target="https://wiki.arn-fai.net/technique:pdu" TargetMode="External"/><Relationship Id="rId16" Type="http://schemas.openxmlformats.org/officeDocument/2006/relationships/hyperlink" Target="http://arn-fai.net/factu-opes#graphes-du-trafic-r-seau-de-l-association" TargetMode="External"/><Relationship Id="rId17" Type="http://schemas.openxmlformats.org/officeDocument/2006/relationships/hyperlink" Target="https://arn-fai.net/factu-opes#est-ce-qu-un-e-gros-sse-t-l-chargeur-se-p-nalise-l-association-" TargetMode="External"/><Relationship Id="rId18" Type="http://schemas.openxmlformats.org/officeDocument/2006/relationships/hyperlink" Target="https://wiki.arn-fai.net/technique:car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Camille Bresson</cp:lastModifiedBy>
  <cp:revision>3</cp:revision>
  <dcterms:modified xsi:type="dcterms:W3CDTF">2022-05-07T11:27:57Z</dcterms:modified>
</cp:coreProperties>
</file>